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5D8" w:rsidRPr="00466CF1" w:rsidRDefault="0013779A">
      <w:pPr>
        <w:rPr>
          <w:b/>
          <w:sz w:val="36"/>
          <w:szCs w:val="36"/>
          <w:lang w:val="de-DE"/>
        </w:rPr>
      </w:pPr>
      <w:r w:rsidRPr="00466CF1">
        <w:rPr>
          <w:b/>
          <w:sz w:val="36"/>
          <w:szCs w:val="36"/>
          <w:lang w:val="de-DE"/>
        </w:rPr>
        <w:t>Das chronisch kranke Kind in der Schule</w:t>
      </w:r>
    </w:p>
    <w:p w:rsidR="0002799C" w:rsidRPr="00DA3847" w:rsidRDefault="0002799C">
      <w:pPr>
        <w:rPr>
          <w:lang w:val="de-DE"/>
        </w:rPr>
      </w:pPr>
      <w:r>
        <w:rPr>
          <w:lang w:val="de-DE"/>
        </w:rPr>
        <w:t>Am Dienstag, den 13. März 2010 fand an der P</w:t>
      </w:r>
      <w:r w:rsidR="00DA3847">
        <w:rPr>
          <w:lang w:val="de-DE"/>
        </w:rPr>
        <w:t>ädagogischen Hochschule</w:t>
      </w:r>
      <w:r>
        <w:rPr>
          <w:lang w:val="de-DE"/>
        </w:rPr>
        <w:t xml:space="preserve"> </w:t>
      </w:r>
      <w:r w:rsidR="001A796C">
        <w:rPr>
          <w:lang w:val="de-DE"/>
        </w:rPr>
        <w:t xml:space="preserve">in Klagenfurt </w:t>
      </w:r>
      <w:r>
        <w:rPr>
          <w:lang w:val="de-DE"/>
        </w:rPr>
        <w:t xml:space="preserve">eine interdisziplinäre Fortbildung </w:t>
      </w:r>
      <w:r w:rsidR="00DA3847">
        <w:rPr>
          <w:lang w:val="de-DE"/>
        </w:rPr>
        <w:t xml:space="preserve">für BewegungserzieherInnen und </w:t>
      </w:r>
      <w:proofErr w:type="spellStart"/>
      <w:r w:rsidR="00DA3847">
        <w:rPr>
          <w:lang w:val="de-DE"/>
        </w:rPr>
        <w:t>SchulärztInnen</w:t>
      </w:r>
      <w:proofErr w:type="spellEnd"/>
      <w:r w:rsidR="00DA3847">
        <w:rPr>
          <w:lang w:val="de-DE"/>
        </w:rPr>
        <w:t xml:space="preserve"> </w:t>
      </w:r>
      <w:r>
        <w:rPr>
          <w:lang w:val="de-DE"/>
        </w:rPr>
        <w:t xml:space="preserve">zum Thema: </w:t>
      </w:r>
      <w:r w:rsidR="00DA3847">
        <w:rPr>
          <w:lang w:val="de-DE"/>
        </w:rPr>
        <w:t>„D</w:t>
      </w:r>
      <w:r>
        <w:rPr>
          <w:lang w:val="de-DE"/>
        </w:rPr>
        <w:t>as chronisch kranke Kind in der Schule</w:t>
      </w:r>
      <w:r w:rsidR="00DA3847">
        <w:rPr>
          <w:lang w:val="de-DE"/>
        </w:rPr>
        <w:t>“</w:t>
      </w:r>
      <w:r>
        <w:rPr>
          <w:lang w:val="de-DE"/>
        </w:rPr>
        <w:t xml:space="preserve"> unter der Leitung von </w:t>
      </w:r>
      <w:proofErr w:type="spellStart"/>
      <w:r w:rsidRPr="00DA3847">
        <w:rPr>
          <w:lang w:val="de-DE"/>
        </w:rPr>
        <w:t>Dr.Lilly</w:t>
      </w:r>
      <w:proofErr w:type="spellEnd"/>
      <w:r w:rsidRPr="00DA3847">
        <w:rPr>
          <w:lang w:val="de-DE"/>
        </w:rPr>
        <w:t xml:space="preserve"> Damm, Zentrum </w:t>
      </w:r>
      <w:r w:rsidR="00466CF1" w:rsidRPr="00DA3847">
        <w:rPr>
          <w:lang w:val="de-DE"/>
        </w:rPr>
        <w:t xml:space="preserve">für Public </w:t>
      </w:r>
      <w:proofErr w:type="spellStart"/>
      <w:r w:rsidR="00466CF1" w:rsidRPr="00DA3847">
        <w:rPr>
          <w:lang w:val="de-DE"/>
        </w:rPr>
        <w:t>Health</w:t>
      </w:r>
      <w:proofErr w:type="spellEnd"/>
      <w:r w:rsidR="00466CF1" w:rsidRPr="00DA3847">
        <w:rPr>
          <w:lang w:val="de-DE"/>
        </w:rPr>
        <w:t xml:space="preserve"> der Medizinischen Universität Wien, statt</w:t>
      </w:r>
      <w:r w:rsidRPr="00DA3847">
        <w:rPr>
          <w:lang w:val="de-DE"/>
        </w:rPr>
        <w:t>.</w:t>
      </w:r>
    </w:p>
    <w:p w:rsidR="00DA3847" w:rsidRDefault="00CC5220">
      <w:pPr>
        <w:rPr>
          <w:lang w:val="de-DE"/>
        </w:rPr>
      </w:pPr>
      <w:r>
        <w:rPr>
          <w:lang w:val="de-DE"/>
        </w:rPr>
        <w:t xml:space="preserve">Laut </w:t>
      </w:r>
      <w:r w:rsidR="008620DC">
        <w:rPr>
          <w:lang w:val="de-DE"/>
        </w:rPr>
        <w:t xml:space="preserve">der </w:t>
      </w:r>
      <w:r w:rsidR="009A37C3">
        <w:rPr>
          <w:lang w:val="de-DE"/>
        </w:rPr>
        <w:t xml:space="preserve">soeben erschienenen  </w:t>
      </w:r>
      <w:r w:rsidR="008620DC">
        <w:rPr>
          <w:lang w:val="de-DE"/>
        </w:rPr>
        <w:t xml:space="preserve">HBSC-Studie aus  2010 </w:t>
      </w:r>
      <w:r>
        <w:rPr>
          <w:lang w:val="de-DE"/>
        </w:rPr>
        <w:t>leiden 16.8% der Schulkinder</w:t>
      </w:r>
      <w:r w:rsidRPr="00CC5220">
        <w:rPr>
          <w:lang w:val="de-DE"/>
        </w:rPr>
        <w:t xml:space="preserve"> an chron</w:t>
      </w:r>
      <w:r w:rsidR="008620DC">
        <w:rPr>
          <w:lang w:val="de-DE"/>
        </w:rPr>
        <w:t xml:space="preserve">ischen </w:t>
      </w:r>
      <w:proofErr w:type="spellStart"/>
      <w:r w:rsidR="008620DC">
        <w:rPr>
          <w:lang w:val="de-DE"/>
        </w:rPr>
        <w:t>behandlungsbedürftigen</w:t>
      </w:r>
      <w:proofErr w:type="spellEnd"/>
      <w:r w:rsidR="008620DC">
        <w:rPr>
          <w:lang w:val="de-DE"/>
        </w:rPr>
        <w:t xml:space="preserve"> Erkrankungen </w:t>
      </w:r>
      <w:r w:rsidR="008620DC" w:rsidRPr="00CC5220">
        <w:rPr>
          <w:lang w:val="de-DE"/>
        </w:rPr>
        <w:t xml:space="preserve"> </w:t>
      </w:r>
      <w:r w:rsidRPr="00CC5220">
        <w:rPr>
          <w:lang w:val="de-DE"/>
        </w:rPr>
        <w:t>und Beeinträchtigungen. Diese sind sehr unterschiedlich und führen nur teilweise zu Problemen im Unter</w:t>
      </w:r>
      <w:r>
        <w:rPr>
          <w:lang w:val="de-DE"/>
        </w:rPr>
        <w:t xml:space="preserve">richt und Schulalltag. </w:t>
      </w:r>
      <w:r>
        <w:rPr>
          <w:lang w:val="de-DE"/>
        </w:rPr>
        <w:br/>
      </w:r>
      <w:r w:rsidR="008620DC">
        <w:rPr>
          <w:lang w:val="de-DE"/>
        </w:rPr>
        <w:t xml:space="preserve">Zu den </w:t>
      </w:r>
      <w:r w:rsidR="00FA0AF7">
        <w:rPr>
          <w:lang w:val="de-DE"/>
        </w:rPr>
        <w:t xml:space="preserve">bekanntesten und gleichzeitig auch </w:t>
      </w:r>
      <w:r>
        <w:rPr>
          <w:lang w:val="de-DE"/>
        </w:rPr>
        <w:t>häufig</w:t>
      </w:r>
      <w:r w:rsidR="00637A10">
        <w:rPr>
          <w:lang w:val="de-DE"/>
        </w:rPr>
        <w:t>st</w:t>
      </w:r>
      <w:r w:rsidR="008620DC">
        <w:rPr>
          <w:lang w:val="de-DE"/>
        </w:rPr>
        <w:t xml:space="preserve">en zählen </w:t>
      </w:r>
      <w:r w:rsidRPr="00CC5220">
        <w:rPr>
          <w:lang w:val="de-DE"/>
        </w:rPr>
        <w:t>Epilepsie, Asthma bronchiale und insulinpflichtige</w:t>
      </w:r>
      <w:r w:rsidR="008620DC">
        <w:rPr>
          <w:lang w:val="de-DE"/>
        </w:rPr>
        <w:t>r</w:t>
      </w:r>
      <w:r w:rsidRPr="00CC5220">
        <w:rPr>
          <w:lang w:val="de-DE"/>
        </w:rPr>
        <w:t xml:space="preserve"> Diabetes mellitus </w:t>
      </w:r>
      <w:r>
        <w:rPr>
          <w:lang w:val="de-DE"/>
        </w:rPr>
        <w:t>(Zuckerkr</w:t>
      </w:r>
      <w:r w:rsidR="00B97429">
        <w:rPr>
          <w:lang w:val="de-DE"/>
        </w:rPr>
        <w:t>ankheit)</w:t>
      </w:r>
      <w:r w:rsidR="009A37C3">
        <w:rPr>
          <w:lang w:val="de-DE"/>
        </w:rPr>
        <w:t xml:space="preserve">, weshalb auf diese besonders eingegangen </w:t>
      </w:r>
      <w:r w:rsidR="00F828E7">
        <w:rPr>
          <w:lang w:val="de-DE"/>
        </w:rPr>
        <w:t>wurde</w:t>
      </w:r>
      <w:r w:rsidR="009A37C3">
        <w:rPr>
          <w:lang w:val="de-DE"/>
        </w:rPr>
        <w:t>.</w:t>
      </w:r>
    </w:p>
    <w:p w:rsidR="00CC5220" w:rsidRDefault="009A37C3">
      <w:pPr>
        <w:rPr>
          <w:lang w:val="de-DE"/>
        </w:rPr>
      </w:pPr>
      <w:r>
        <w:rPr>
          <w:lang w:val="de-DE"/>
        </w:rPr>
        <w:t xml:space="preserve">Es gibt jedoch </w:t>
      </w:r>
      <w:r w:rsidR="00DA3847">
        <w:rPr>
          <w:lang w:val="de-DE"/>
        </w:rPr>
        <w:t xml:space="preserve">auch </w:t>
      </w:r>
      <w:r>
        <w:rPr>
          <w:lang w:val="de-DE"/>
        </w:rPr>
        <w:t>zahlreiche andere Erkrankungen</w:t>
      </w:r>
      <w:r w:rsidR="00637A10">
        <w:rPr>
          <w:lang w:val="de-DE"/>
        </w:rPr>
        <w:t xml:space="preserve"> bei Kindern und Jugendlichen</w:t>
      </w:r>
      <w:r>
        <w:rPr>
          <w:lang w:val="de-DE"/>
        </w:rPr>
        <w:t>, eine Auswahl findet sich in der folgende</w:t>
      </w:r>
      <w:r w:rsidR="00192C9F">
        <w:rPr>
          <w:lang w:val="de-DE"/>
        </w:rPr>
        <w:t>n</w:t>
      </w:r>
      <w:r>
        <w:rPr>
          <w:lang w:val="de-DE"/>
        </w:rPr>
        <w:t xml:space="preserve"> </w:t>
      </w:r>
      <w:r w:rsidR="00192C9F">
        <w:rPr>
          <w:lang w:val="de-DE"/>
        </w:rPr>
        <w:t>Zusammenstellung:</w:t>
      </w:r>
    </w:p>
    <w:p w:rsidR="00FA0AF7" w:rsidRDefault="00192C9F">
      <w:pPr>
        <w:rPr>
          <w:lang w:val="de-DE"/>
        </w:rPr>
      </w:pPr>
      <w:r>
        <w:rPr>
          <w:lang w:val="de-DE"/>
        </w:rPr>
        <w:t>Tabelle</w:t>
      </w:r>
      <w:r w:rsidR="0002799C">
        <w:rPr>
          <w:lang w:val="de-DE"/>
        </w:rPr>
        <w:t xml:space="preserve"> </w:t>
      </w:r>
      <w:r w:rsidR="00637A10">
        <w:rPr>
          <w:lang w:val="de-DE"/>
        </w:rPr>
        <w:t>Auswahl einiger</w:t>
      </w:r>
      <w:r w:rsidR="008620DC">
        <w:rPr>
          <w:lang w:val="de-DE"/>
        </w:rPr>
        <w:t xml:space="preserve"> </w:t>
      </w:r>
      <w:r w:rsidR="00637A10">
        <w:rPr>
          <w:lang w:val="de-DE"/>
        </w:rPr>
        <w:t>chron</w:t>
      </w:r>
      <w:r w:rsidR="00FA0AF7">
        <w:rPr>
          <w:lang w:val="de-DE"/>
        </w:rPr>
        <w:t xml:space="preserve">isch </w:t>
      </w:r>
      <w:r w:rsidR="0002799C">
        <w:rPr>
          <w:lang w:val="de-DE"/>
        </w:rPr>
        <w:t>somat</w:t>
      </w:r>
      <w:r w:rsidR="00FA0AF7">
        <w:rPr>
          <w:lang w:val="de-DE"/>
        </w:rPr>
        <w:t>ische</w:t>
      </w:r>
      <w:r w:rsidR="00637A10">
        <w:rPr>
          <w:lang w:val="de-DE"/>
        </w:rPr>
        <w:t>r</w:t>
      </w:r>
      <w:r w:rsidR="0002799C">
        <w:rPr>
          <w:lang w:val="de-DE"/>
        </w:rPr>
        <w:t xml:space="preserve"> </w:t>
      </w:r>
      <w:r w:rsidR="00FA0AF7">
        <w:rPr>
          <w:lang w:val="de-DE"/>
        </w:rPr>
        <w:t>Krankheiten von Kindern und Jugendlichen nach Lebenszeitprävalenz und Geschlecht</w:t>
      </w:r>
    </w:p>
    <w:tbl>
      <w:tblPr>
        <w:tblW w:w="0" w:type="auto"/>
        <w:jc w:val="center"/>
        <w:tblInd w:w="-2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9"/>
        <w:gridCol w:w="2801"/>
        <w:gridCol w:w="1152"/>
        <w:gridCol w:w="858"/>
      </w:tblGrid>
      <w:tr w:rsidR="00192C9F" w:rsidRPr="00192C9F" w:rsidTr="00192C9F">
        <w:trPr>
          <w:jc w:val="center"/>
        </w:trPr>
        <w:tc>
          <w:tcPr>
            <w:tcW w:w="3939" w:type="dxa"/>
            <w:vAlign w:val="center"/>
          </w:tcPr>
          <w:p w:rsidR="00192C9F" w:rsidRPr="00192C9F" w:rsidRDefault="00192C9F" w:rsidP="00192C9F">
            <w:pPr>
              <w:spacing w:after="0" w:line="360" w:lineRule="auto"/>
              <w:rPr>
                <w:rFonts w:eastAsia="Times New Roman" w:cs="Arial"/>
                <w:b/>
                <w:sz w:val="24"/>
                <w:szCs w:val="24"/>
                <w:lang w:val="de-DE" w:eastAsia="de-DE"/>
              </w:rPr>
            </w:pPr>
            <w:r w:rsidRPr="00192C9F">
              <w:rPr>
                <w:rFonts w:eastAsia="Times New Roman" w:cs="Arial"/>
                <w:b/>
                <w:sz w:val="24"/>
                <w:szCs w:val="24"/>
                <w:lang w:val="de-DE" w:eastAsia="de-DE"/>
              </w:rPr>
              <w:t>Chron</w:t>
            </w:r>
            <w:r>
              <w:rPr>
                <w:rFonts w:eastAsia="Times New Roman" w:cs="Arial"/>
                <w:b/>
                <w:sz w:val="24"/>
                <w:szCs w:val="24"/>
                <w:lang w:val="de-DE" w:eastAsia="de-DE"/>
              </w:rPr>
              <w:t xml:space="preserve">isch </w:t>
            </w:r>
            <w:r w:rsidRPr="00192C9F">
              <w:rPr>
                <w:rFonts w:eastAsia="Times New Roman" w:cs="Arial"/>
                <w:b/>
                <w:sz w:val="24"/>
                <w:szCs w:val="24"/>
                <w:lang w:val="de-DE" w:eastAsia="de-DE"/>
              </w:rPr>
              <w:t>somat</w:t>
            </w:r>
            <w:r>
              <w:rPr>
                <w:rFonts w:eastAsia="Times New Roman" w:cs="Arial"/>
                <w:b/>
                <w:sz w:val="24"/>
                <w:szCs w:val="24"/>
                <w:lang w:val="de-DE" w:eastAsia="de-DE"/>
              </w:rPr>
              <w:t>ische</w:t>
            </w:r>
            <w:r w:rsidRPr="00192C9F">
              <w:rPr>
                <w:rFonts w:eastAsia="Times New Roman" w:cs="Arial"/>
                <w:b/>
                <w:sz w:val="24"/>
                <w:szCs w:val="24"/>
                <w:lang w:val="de-DE" w:eastAsia="de-DE"/>
              </w:rPr>
              <w:t xml:space="preserve"> Erkrankung</w:t>
            </w:r>
          </w:p>
        </w:tc>
        <w:tc>
          <w:tcPr>
            <w:tcW w:w="2801" w:type="dxa"/>
            <w:vAlign w:val="center"/>
          </w:tcPr>
          <w:p w:rsidR="00192C9F" w:rsidRPr="00192C9F" w:rsidRDefault="00192C9F" w:rsidP="00192C9F">
            <w:pPr>
              <w:spacing w:after="0" w:line="360" w:lineRule="auto"/>
              <w:jc w:val="right"/>
              <w:rPr>
                <w:rFonts w:eastAsia="Times New Roman" w:cs="Arial"/>
                <w:b/>
                <w:sz w:val="24"/>
                <w:szCs w:val="24"/>
                <w:lang w:val="de-DE" w:eastAsia="de-DE"/>
              </w:rPr>
            </w:pPr>
            <w:r w:rsidRPr="00192C9F">
              <w:rPr>
                <w:rFonts w:eastAsia="Times New Roman" w:cs="Arial"/>
                <w:b/>
                <w:sz w:val="24"/>
                <w:szCs w:val="24"/>
                <w:lang w:val="de-DE" w:eastAsia="de-DE"/>
              </w:rPr>
              <w:t xml:space="preserve">Lebenszeit-Prävalenz    </w:t>
            </w:r>
          </w:p>
        </w:tc>
        <w:tc>
          <w:tcPr>
            <w:tcW w:w="0" w:type="auto"/>
            <w:vAlign w:val="center"/>
          </w:tcPr>
          <w:p w:rsidR="00192C9F" w:rsidRPr="00192C9F" w:rsidRDefault="00192C9F" w:rsidP="00192C9F">
            <w:pPr>
              <w:spacing w:after="0" w:line="360" w:lineRule="auto"/>
              <w:jc w:val="right"/>
              <w:rPr>
                <w:rFonts w:eastAsia="Times New Roman" w:cs="Arial"/>
                <w:b/>
                <w:sz w:val="24"/>
                <w:szCs w:val="24"/>
                <w:lang w:val="de-DE" w:eastAsia="de-DE"/>
              </w:rPr>
            </w:pPr>
            <w:r w:rsidRPr="00192C9F">
              <w:rPr>
                <w:rFonts w:eastAsia="Times New Roman" w:cs="Arial"/>
                <w:b/>
                <w:sz w:val="24"/>
                <w:szCs w:val="24"/>
                <w:lang w:val="de-DE" w:eastAsia="de-DE"/>
              </w:rPr>
              <w:t>Mädchen</w:t>
            </w:r>
          </w:p>
        </w:tc>
        <w:tc>
          <w:tcPr>
            <w:tcW w:w="0" w:type="auto"/>
            <w:vAlign w:val="center"/>
          </w:tcPr>
          <w:p w:rsidR="00192C9F" w:rsidRPr="00192C9F" w:rsidRDefault="00192C9F" w:rsidP="00192C9F">
            <w:pPr>
              <w:spacing w:after="0" w:line="360" w:lineRule="auto"/>
              <w:jc w:val="right"/>
              <w:rPr>
                <w:rFonts w:eastAsia="Times New Roman" w:cs="Arial"/>
                <w:b/>
                <w:sz w:val="24"/>
                <w:szCs w:val="24"/>
                <w:lang w:val="de-DE" w:eastAsia="de-DE"/>
              </w:rPr>
            </w:pPr>
            <w:r w:rsidRPr="00192C9F">
              <w:rPr>
                <w:rFonts w:eastAsia="Times New Roman" w:cs="Arial"/>
                <w:b/>
                <w:sz w:val="24"/>
                <w:szCs w:val="24"/>
                <w:lang w:val="de-DE" w:eastAsia="de-DE"/>
              </w:rPr>
              <w:t>Buben</w:t>
            </w:r>
          </w:p>
        </w:tc>
      </w:tr>
      <w:tr w:rsidR="00192C9F" w:rsidRPr="00192C9F" w:rsidTr="00192C9F">
        <w:trPr>
          <w:jc w:val="center"/>
        </w:trPr>
        <w:tc>
          <w:tcPr>
            <w:tcW w:w="3939" w:type="dxa"/>
            <w:vAlign w:val="center"/>
          </w:tcPr>
          <w:p w:rsidR="00192C9F" w:rsidRPr="00192C9F" w:rsidRDefault="00192C9F" w:rsidP="00192C9F">
            <w:pPr>
              <w:spacing w:after="0" w:line="360" w:lineRule="auto"/>
              <w:rPr>
                <w:rFonts w:eastAsia="Times New Roman" w:cs="Arial"/>
                <w:sz w:val="24"/>
                <w:szCs w:val="24"/>
                <w:lang w:val="de-DE" w:eastAsia="de-DE"/>
              </w:rPr>
            </w:pPr>
            <w:r w:rsidRPr="00192C9F">
              <w:rPr>
                <w:rFonts w:eastAsia="Times New Roman" w:cs="Arial"/>
                <w:sz w:val="24"/>
                <w:szCs w:val="24"/>
                <w:lang w:val="de-DE" w:eastAsia="de-DE"/>
              </w:rPr>
              <w:t>Heuschnupfen</w:t>
            </w:r>
          </w:p>
        </w:tc>
        <w:tc>
          <w:tcPr>
            <w:tcW w:w="2801" w:type="dxa"/>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 xml:space="preserve">10,7% </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8,9%</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12,5%</w:t>
            </w:r>
          </w:p>
        </w:tc>
      </w:tr>
      <w:tr w:rsidR="00192C9F" w:rsidRPr="00192C9F" w:rsidTr="00192C9F">
        <w:trPr>
          <w:jc w:val="center"/>
        </w:trPr>
        <w:tc>
          <w:tcPr>
            <w:tcW w:w="3939" w:type="dxa"/>
            <w:vAlign w:val="center"/>
          </w:tcPr>
          <w:p w:rsidR="00192C9F" w:rsidRPr="00192C9F" w:rsidRDefault="00192C9F" w:rsidP="00192C9F">
            <w:pPr>
              <w:spacing w:after="0" w:line="360" w:lineRule="auto"/>
              <w:rPr>
                <w:rFonts w:eastAsia="Times New Roman" w:cs="Arial"/>
                <w:sz w:val="24"/>
                <w:szCs w:val="24"/>
                <w:lang w:val="de-DE" w:eastAsia="de-DE"/>
              </w:rPr>
            </w:pPr>
            <w:r w:rsidRPr="00192C9F">
              <w:rPr>
                <w:rFonts w:eastAsia="Times New Roman" w:cs="Arial"/>
                <w:sz w:val="24"/>
                <w:szCs w:val="24"/>
                <w:lang w:val="de-DE" w:eastAsia="de-DE"/>
              </w:rPr>
              <w:t>Neurodermitis</w:t>
            </w:r>
          </w:p>
        </w:tc>
        <w:tc>
          <w:tcPr>
            <w:tcW w:w="2801" w:type="dxa"/>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13,2%</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13,4%</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13,0%</w:t>
            </w:r>
          </w:p>
        </w:tc>
      </w:tr>
      <w:tr w:rsidR="00192C9F" w:rsidRPr="00192C9F" w:rsidTr="00192C9F">
        <w:trPr>
          <w:jc w:val="center"/>
        </w:trPr>
        <w:tc>
          <w:tcPr>
            <w:tcW w:w="3939" w:type="dxa"/>
            <w:vAlign w:val="center"/>
          </w:tcPr>
          <w:p w:rsidR="00192C9F" w:rsidRPr="00192C9F" w:rsidRDefault="00192C9F" w:rsidP="00192C9F">
            <w:pPr>
              <w:spacing w:after="0" w:line="360" w:lineRule="auto"/>
              <w:rPr>
                <w:rFonts w:eastAsia="Times New Roman" w:cs="Arial"/>
                <w:sz w:val="24"/>
                <w:szCs w:val="24"/>
                <w:lang w:val="de-DE" w:eastAsia="de-DE"/>
              </w:rPr>
            </w:pPr>
            <w:r w:rsidRPr="00192C9F">
              <w:rPr>
                <w:rFonts w:eastAsia="Times New Roman" w:cs="Arial"/>
                <w:sz w:val="24"/>
                <w:szCs w:val="24"/>
                <w:lang w:val="de-DE" w:eastAsia="de-DE"/>
              </w:rPr>
              <w:t>Asthma bronchiale</w:t>
            </w:r>
          </w:p>
        </w:tc>
        <w:tc>
          <w:tcPr>
            <w:tcW w:w="2801" w:type="dxa"/>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4,7%</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3,9%</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5,5%</w:t>
            </w:r>
          </w:p>
        </w:tc>
      </w:tr>
      <w:tr w:rsidR="00192C9F" w:rsidRPr="00192C9F" w:rsidTr="00192C9F">
        <w:trPr>
          <w:jc w:val="center"/>
        </w:trPr>
        <w:tc>
          <w:tcPr>
            <w:tcW w:w="3939" w:type="dxa"/>
            <w:vAlign w:val="center"/>
          </w:tcPr>
          <w:p w:rsidR="00192C9F" w:rsidRPr="00192C9F" w:rsidRDefault="00192C9F" w:rsidP="00192C9F">
            <w:pPr>
              <w:spacing w:after="0" w:line="360" w:lineRule="auto"/>
              <w:rPr>
                <w:rFonts w:eastAsia="Times New Roman" w:cs="Arial"/>
                <w:sz w:val="24"/>
                <w:szCs w:val="24"/>
                <w:lang w:val="de-DE" w:eastAsia="de-DE"/>
              </w:rPr>
            </w:pPr>
            <w:r w:rsidRPr="00192C9F">
              <w:rPr>
                <w:rFonts w:eastAsia="Times New Roman" w:cs="Arial"/>
                <w:sz w:val="24"/>
                <w:szCs w:val="24"/>
                <w:lang w:val="de-DE" w:eastAsia="de-DE"/>
              </w:rPr>
              <w:t>Obstruktive Bronchitis</w:t>
            </w:r>
          </w:p>
        </w:tc>
        <w:tc>
          <w:tcPr>
            <w:tcW w:w="2801" w:type="dxa"/>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13,3%</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10,5%</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16,0%</w:t>
            </w:r>
          </w:p>
        </w:tc>
      </w:tr>
      <w:tr w:rsidR="00192C9F" w:rsidRPr="00192C9F" w:rsidTr="00192C9F">
        <w:trPr>
          <w:jc w:val="center"/>
        </w:trPr>
        <w:tc>
          <w:tcPr>
            <w:tcW w:w="3939" w:type="dxa"/>
            <w:vAlign w:val="center"/>
          </w:tcPr>
          <w:p w:rsidR="00192C9F" w:rsidRPr="00192C9F" w:rsidRDefault="00192C9F" w:rsidP="00192C9F">
            <w:pPr>
              <w:spacing w:after="0" w:line="360" w:lineRule="auto"/>
              <w:rPr>
                <w:rFonts w:eastAsia="Times New Roman" w:cs="Arial"/>
                <w:sz w:val="24"/>
                <w:szCs w:val="24"/>
                <w:lang w:val="de-DE" w:eastAsia="de-DE"/>
              </w:rPr>
            </w:pPr>
            <w:r w:rsidRPr="00192C9F">
              <w:rPr>
                <w:rFonts w:eastAsia="Times New Roman" w:cs="Arial"/>
                <w:sz w:val="24"/>
                <w:szCs w:val="24"/>
                <w:lang w:val="de-DE" w:eastAsia="de-DE"/>
              </w:rPr>
              <w:t>Herzkrankheiten</w:t>
            </w:r>
          </w:p>
        </w:tc>
        <w:tc>
          <w:tcPr>
            <w:tcW w:w="2801" w:type="dxa"/>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2,8%</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2,8%</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2,8%</w:t>
            </w:r>
          </w:p>
        </w:tc>
      </w:tr>
      <w:tr w:rsidR="00192C9F" w:rsidRPr="00192C9F" w:rsidTr="00192C9F">
        <w:trPr>
          <w:jc w:val="center"/>
        </w:trPr>
        <w:tc>
          <w:tcPr>
            <w:tcW w:w="3939" w:type="dxa"/>
            <w:vAlign w:val="center"/>
          </w:tcPr>
          <w:p w:rsidR="00192C9F" w:rsidRPr="00192C9F" w:rsidRDefault="00192C9F" w:rsidP="00192C9F">
            <w:pPr>
              <w:spacing w:after="0" w:line="360" w:lineRule="auto"/>
              <w:rPr>
                <w:rFonts w:eastAsia="Times New Roman" w:cs="Arial"/>
                <w:sz w:val="24"/>
                <w:szCs w:val="24"/>
                <w:lang w:val="de-DE" w:eastAsia="de-DE"/>
              </w:rPr>
            </w:pPr>
            <w:r w:rsidRPr="00192C9F">
              <w:rPr>
                <w:rFonts w:eastAsia="Times New Roman" w:cs="Arial"/>
                <w:sz w:val="24"/>
                <w:szCs w:val="24"/>
                <w:lang w:val="de-DE" w:eastAsia="de-DE"/>
              </w:rPr>
              <w:t>Epileptische Anfälle</w:t>
            </w:r>
          </w:p>
        </w:tc>
        <w:tc>
          <w:tcPr>
            <w:tcW w:w="2801" w:type="dxa"/>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3,6%</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3,3%</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3,7%</w:t>
            </w:r>
          </w:p>
        </w:tc>
      </w:tr>
      <w:tr w:rsidR="00192C9F" w:rsidRPr="00192C9F" w:rsidTr="00192C9F">
        <w:trPr>
          <w:jc w:val="center"/>
        </w:trPr>
        <w:tc>
          <w:tcPr>
            <w:tcW w:w="3939" w:type="dxa"/>
            <w:vAlign w:val="center"/>
          </w:tcPr>
          <w:p w:rsidR="00192C9F" w:rsidRPr="00192C9F" w:rsidRDefault="00192C9F" w:rsidP="00192C9F">
            <w:pPr>
              <w:spacing w:after="0" w:line="360" w:lineRule="auto"/>
              <w:rPr>
                <w:rFonts w:eastAsia="Times New Roman" w:cs="Arial"/>
                <w:sz w:val="24"/>
                <w:szCs w:val="24"/>
                <w:lang w:val="de-DE" w:eastAsia="de-DE"/>
              </w:rPr>
            </w:pPr>
            <w:r w:rsidRPr="00192C9F">
              <w:rPr>
                <w:rFonts w:eastAsia="Times New Roman" w:cs="Arial"/>
                <w:sz w:val="24"/>
                <w:szCs w:val="24"/>
                <w:lang w:val="de-DE" w:eastAsia="de-DE"/>
              </w:rPr>
              <w:t>Schilddrüsenkrankheiten</w:t>
            </w:r>
          </w:p>
        </w:tc>
        <w:tc>
          <w:tcPr>
            <w:tcW w:w="2801" w:type="dxa"/>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1,6%</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2,3%</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0,9%</w:t>
            </w:r>
          </w:p>
        </w:tc>
      </w:tr>
      <w:tr w:rsidR="00192C9F" w:rsidRPr="00192C9F" w:rsidTr="00192C9F">
        <w:trPr>
          <w:jc w:val="center"/>
        </w:trPr>
        <w:tc>
          <w:tcPr>
            <w:tcW w:w="3939" w:type="dxa"/>
            <w:vAlign w:val="center"/>
          </w:tcPr>
          <w:p w:rsidR="00192C9F" w:rsidRPr="00192C9F" w:rsidRDefault="00192C9F" w:rsidP="00192C9F">
            <w:pPr>
              <w:spacing w:after="0" w:line="360" w:lineRule="auto"/>
              <w:rPr>
                <w:rFonts w:eastAsia="Times New Roman" w:cs="Arial"/>
                <w:sz w:val="24"/>
                <w:szCs w:val="24"/>
                <w:lang w:val="de-DE" w:eastAsia="de-DE"/>
              </w:rPr>
            </w:pPr>
            <w:r w:rsidRPr="00192C9F">
              <w:rPr>
                <w:rFonts w:eastAsia="Times New Roman" w:cs="Arial"/>
                <w:sz w:val="24"/>
                <w:szCs w:val="24"/>
                <w:lang w:val="de-DE" w:eastAsia="de-DE"/>
              </w:rPr>
              <w:t>Diabetes mellitus</w:t>
            </w:r>
          </w:p>
        </w:tc>
        <w:tc>
          <w:tcPr>
            <w:tcW w:w="2801" w:type="dxa"/>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0,14%</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0,16%</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0,12%</w:t>
            </w:r>
          </w:p>
        </w:tc>
      </w:tr>
      <w:tr w:rsidR="00192C9F" w:rsidRPr="00192C9F" w:rsidTr="00192C9F">
        <w:trPr>
          <w:jc w:val="center"/>
        </w:trPr>
        <w:tc>
          <w:tcPr>
            <w:tcW w:w="3939" w:type="dxa"/>
            <w:vAlign w:val="center"/>
          </w:tcPr>
          <w:p w:rsidR="00192C9F" w:rsidRPr="00192C9F" w:rsidRDefault="00192C9F" w:rsidP="00192C9F">
            <w:pPr>
              <w:spacing w:after="0" w:line="360" w:lineRule="auto"/>
              <w:rPr>
                <w:rFonts w:eastAsia="Times New Roman" w:cs="Arial"/>
                <w:sz w:val="24"/>
                <w:szCs w:val="24"/>
                <w:lang w:val="de-DE" w:eastAsia="de-DE"/>
              </w:rPr>
            </w:pPr>
            <w:r w:rsidRPr="00192C9F">
              <w:rPr>
                <w:rFonts w:eastAsia="Times New Roman" w:cs="Arial"/>
                <w:sz w:val="24"/>
                <w:szCs w:val="24"/>
                <w:lang w:val="de-DE" w:eastAsia="de-DE"/>
              </w:rPr>
              <w:t>Skoliose</w:t>
            </w:r>
          </w:p>
        </w:tc>
        <w:tc>
          <w:tcPr>
            <w:tcW w:w="2801" w:type="dxa"/>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5,2%</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6,0%</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4,4%</w:t>
            </w:r>
          </w:p>
        </w:tc>
      </w:tr>
      <w:tr w:rsidR="00192C9F" w:rsidRPr="00192C9F" w:rsidTr="00192C9F">
        <w:trPr>
          <w:jc w:val="center"/>
        </w:trPr>
        <w:tc>
          <w:tcPr>
            <w:tcW w:w="3939" w:type="dxa"/>
            <w:vAlign w:val="center"/>
          </w:tcPr>
          <w:p w:rsidR="00192C9F" w:rsidRPr="00192C9F" w:rsidRDefault="00192C9F" w:rsidP="00192C9F">
            <w:pPr>
              <w:spacing w:after="0" w:line="360" w:lineRule="auto"/>
              <w:rPr>
                <w:rFonts w:eastAsia="Times New Roman" w:cs="Arial"/>
                <w:sz w:val="24"/>
                <w:szCs w:val="24"/>
                <w:lang w:val="de-DE" w:eastAsia="de-DE"/>
              </w:rPr>
            </w:pPr>
            <w:r w:rsidRPr="00192C9F">
              <w:rPr>
                <w:rFonts w:eastAsia="Times New Roman" w:cs="Arial"/>
                <w:sz w:val="24"/>
                <w:szCs w:val="24"/>
                <w:lang w:val="de-DE" w:eastAsia="de-DE"/>
              </w:rPr>
              <w:t>Anämie</w:t>
            </w:r>
          </w:p>
        </w:tc>
        <w:tc>
          <w:tcPr>
            <w:tcW w:w="2801" w:type="dxa"/>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2,4%</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2,6%</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2,2%</w:t>
            </w:r>
          </w:p>
        </w:tc>
      </w:tr>
      <w:tr w:rsidR="00192C9F" w:rsidRPr="00192C9F" w:rsidTr="00192C9F">
        <w:trPr>
          <w:jc w:val="center"/>
        </w:trPr>
        <w:tc>
          <w:tcPr>
            <w:tcW w:w="3939" w:type="dxa"/>
            <w:vAlign w:val="center"/>
          </w:tcPr>
          <w:p w:rsidR="00192C9F" w:rsidRPr="00192C9F" w:rsidRDefault="00192C9F" w:rsidP="00192C9F">
            <w:pPr>
              <w:spacing w:after="0" w:line="360" w:lineRule="auto"/>
              <w:rPr>
                <w:rFonts w:eastAsia="Times New Roman" w:cs="Arial"/>
                <w:sz w:val="24"/>
                <w:szCs w:val="24"/>
                <w:lang w:val="de-DE" w:eastAsia="de-DE"/>
              </w:rPr>
            </w:pPr>
            <w:r w:rsidRPr="00192C9F">
              <w:rPr>
                <w:rFonts w:eastAsia="Times New Roman" w:cs="Arial"/>
                <w:sz w:val="24"/>
                <w:szCs w:val="24"/>
                <w:lang w:val="de-DE" w:eastAsia="de-DE"/>
              </w:rPr>
              <w:t>Migräne</w:t>
            </w:r>
          </w:p>
        </w:tc>
        <w:tc>
          <w:tcPr>
            <w:tcW w:w="2801" w:type="dxa"/>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2,5%</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2,8%</w:t>
            </w:r>
          </w:p>
        </w:tc>
        <w:tc>
          <w:tcPr>
            <w:tcW w:w="0" w:type="auto"/>
            <w:vAlign w:val="center"/>
          </w:tcPr>
          <w:p w:rsidR="00192C9F" w:rsidRPr="00192C9F" w:rsidRDefault="00192C9F" w:rsidP="00192C9F">
            <w:pPr>
              <w:spacing w:after="0" w:line="360" w:lineRule="auto"/>
              <w:jc w:val="right"/>
              <w:rPr>
                <w:rFonts w:eastAsia="Times New Roman" w:cs="Arial"/>
                <w:sz w:val="24"/>
                <w:szCs w:val="24"/>
                <w:lang w:val="de-DE" w:eastAsia="de-DE"/>
              </w:rPr>
            </w:pPr>
            <w:r w:rsidRPr="00192C9F">
              <w:rPr>
                <w:rFonts w:eastAsia="Times New Roman" w:cs="Arial"/>
                <w:sz w:val="24"/>
                <w:szCs w:val="24"/>
                <w:lang w:val="de-DE" w:eastAsia="de-DE"/>
              </w:rPr>
              <w:t>2,1%</w:t>
            </w:r>
          </w:p>
        </w:tc>
      </w:tr>
    </w:tbl>
    <w:p w:rsidR="008620DC" w:rsidRDefault="008620DC">
      <w:pPr>
        <w:rPr>
          <w:lang w:val="de-DE"/>
        </w:rPr>
      </w:pPr>
      <w:r>
        <w:rPr>
          <w:lang w:val="de-DE"/>
        </w:rPr>
        <w:t xml:space="preserve">Quelle: </w:t>
      </w:r>
      <w:proofErr w:type="spellStart"/>
      <w:r w:rsidR="00FA0AF7">
        <w:rPr>
          <w:lang w:val="de-DE"/>
        </w:rPr>
        <w:t>Kamtsiuris</w:t>
      </w:r>
      <w:proofErr w:type="spellEnd"/>
      <w:r w:rsidR="00FA0AF7">
        <w:rPr>
          <w:lang w:val="de-DE"/>
        </w:rPr>
        <w:t xml:space="preserve"> P et al (2007) Prävalenz von somatischen Erkrankungen  (KIGGS) </w:t>
      </w:r>
      <w:proofErr w:type="spellStart"/>
      <w:r w:rsidR="00FA0AF7">
        <w:rPr>
          <w:lang w:val="de-DE"/>
        </w:rPr>
        <w:t>Bundesgesundheitsbl_Gesundheitsforsch</w:t>
      </w:r>
      <w:proofErr w:type="spellEnd"/>
      <w:r w:rsidR="00FA0AF7">
        <w:rPr>
          <w:lang w:val="de-DE"/>
        </w:rPr>
        <w:t>-Gesundheitsschutz 50:686-700</w:t>
      </w:r>
    </w:p>
    <w:p w:rsidR="008620DC" w:rsidRDefault="008620DC">
      <w:pPr>
        <w:rPr>
          <w:lang w:val="de-DE"/>
        </w:rPr>
      </w:pPr>
    </w:p>
    <w:p w:rsidR="0002799C" w:rsidRPr="0002799C" w:rsidRDefault="0002799C" w:rsidP="009A37C3">
      <w:pPr>
        <w:spacing w:line="240" w:lineRule="auto"/>
        <w:rPr>
          <w:b/>
          <w:sz w:val="28"/>
          <w:szCs w:val="24"/>
          <w:lang w:val="de-DE"/>
        </w:rPr>
      </w:pPr>
      <w:r>
        <w:rPr>
          <w:b/>
          <w:sz w:val="28"/>
          <w:szCs w:val="24"/>
          <w:lang w:val="de-DE"/>
        </w:rPr>
        <w:t>An erster Stelle soll</w:t>
      </w:r>
      <w:r w:rsidRPr="0002799C">
        <w:rPr>
          <w:b/>
          <w:sz w:val="28"/>
          <w:szCs w:val="24"/>
          <w:lang w:val="de-DE"/>
        </w:rPr>
        <w:t xml:space="preserve"> in der Schule das Wohlergehen des Kindes </w:t>
      </w:r>
      <w:r w:rsidR="009A37C3">
        <w:rPr>
          <w:b/>
          <w:sz w:val="28"/>
          <w:szCs w:val="24"/>
          <w:lang w:val="de-DE"/>
        </w:rPr>
        <w:t xml:space="preserve">bzw. Jugendlichen </w:t>
      </w:r>
      <w:r w:rsidRPr="0002799C">
        <w:rPr>
          <w:b/>
          <w:sz w:val="28"/>
          <w:szCs w:val="24"/>
          <w:lang w:val="de-DE"/>
        </w:rPr>
        <w:t>stehen.</w:t>
      </w:r>
    </w:p>
    <w:p w:rsidR="0002799C" w:rsidRDefault="0002799C" w:rsidP="009A37C3">
      <w:pPr>
        <w:spacing w:line="240" w:lineRule="auto"/>
        <w:rPr>
          <w:lang w:val="de-DE"/>
        </w:rPr>
      </w:pPr>
      <w:r>
        <w:rPr>
          <w:lang w:val="de-DE"/>
        </w:rPr>
        <w:lastRenderedPageBreak/>
        <w:t>Auch kranke Kinder besuchen die Schule. Es ist wichtig</w:t>
      </w:r>
      <w:r w:rsidR="00DA3847">
        <w:rPr>
          <w:lang w:val="de-DE"/>
        </w:rPr>
        <w:t>,</w:t>
      </w:r>
      <w:r>
        <w:rPr>
          <w:lang w:val="de-DE"/>
        </w:rPr>
        <w:t xml:space="preserve"> </w:t>
      </w:r>
      <w:r w:rsidRPr="009A37C3">
        <w:rPr>
          <w:lang w:val="de-DE"/>
        </w:rPr>
        <w:t>Voraussetzungen zu schaffen</w:t>
      </w:r>
      <w:r w:rsidR="00466CF1">
        <w:rPr>
          <w:lang w:val="de-DE"/>
        </w:rPr>
        <w:t>, dass diese Kinder trotz</w:t>
      </w:r>
      <w:r>
        <w:rPr>
          <w:lang w:val="de-DE"/>
        </w:rPr>
        <w:t xml:space="preserve"> ihre</w:t>
      </w:r>
      <w:r w:rsidR="00466CF1">
        <w:rPr>
          <w:lang w:val="de-DE"/>
        </w:rPr>
        <w:t>r</w:t>
      </w:r>
      <w:r>
        <w:rPr>
          <w:lang w:val="de-DE"/>
        </w:rPr>
        <w:t xml:space="preserve"> </w:t>
      </w:r>
      <w:proofErr w:type="gramStart"/>
      <w:r>
        <w:rPr>
          <w:lang w:val="de-DE"/>
        </w:rPr>
        <w:t>gesundhe</w:t>
      </w:r>
      <w:r w:rsidR="00466CF1">
        <w:rPr>
          <w:lang w:val="de-DE"/>
        </w:rPr>
        <w:t>itliche</w:t>
      </w:r>
      <w:proofErr w:type="gramEnd"/>
      <w:r w:rsidR="00466CF1">
        <w:rPr>
          <w:lang w:val="de-DE"/>
        </w:rPr>
        <w:t xml:space="preserve"> Belastung </w:t>
      </w:r>
      <w:proofErr w:type="spellStart"/>
      <w:r w:rsidR="00FA0AF7" w:rsidRPr="009A37C3">
        <w:rPr>
          <w:lang w:val="de-DE"/>
        </w:rPr>
        <w:t>diesselben</w:t>
      </w:r>
      <w:proofErr w:type="spellEnd"/>
      <w:r w:rsidR="00FA0AF7" w:rsidRPr="009A37C3">
        <w:rPr>
          <w:lang w:val="de-DE"/>
        </w:rPr>
        <w:t xml:space="preserve">  </w:t>
      </w:r>
      <w:r w:rsidR="00466CF1" w:rsidRPr="009A37C3">
        <w:rPr>
          <w:lang w:val="de-DE"/>
        </w:rPr>
        <w:t xml:space="preserve">Bildungschancen </w:t>
      </w:r>
      <w:r w:rsidR="00FA0AF7" w:rsidRPr="009A37C3">
        <w:rPr>
          <w:lang w:val="de-DE"/>
        </w:rPr>
        <w:t xml:space="preserve">wie gesunde Kinder </w:t>
      </w:r>
      <w:r w:rsidR="00466CF1" w:rsidRPr="009A37C3">
        <w:rPr>
          <w:lang w:val="de-DE"/>
        </w:rPr>
        <w:t>erhalten</w:t>
      </w:r>
      <w:r>
        <w:rPr>
          <w:lang w:val="de-DE"/>
        </w:rPr>
        <w:t>.</w:t>
      </w:r>
    </w:p>
    <w:p w:rsidR="00B97429" w:rsidRDefault="00B97429" w:rsidP="009A37C3">
      <w:pPr>
        <w:spacing w:line="240" w:lineRule="auto"/>
        <w:rPr>
          <w:lang w:val="de-DE"/>
        </w:rPr>
      </w:pPr>
      <w:r>
        <w:rPr>
          <w:lang w:val="de-DE"/>
        </w:rPr>
        <w:t xml:space="preserve">Je </w:t>
      </w:r>
      <w:r w:rsidR="00FA0AF7">
        <w:rPr>
          <w:lang w:val="de-DE"/>
        </w:rPr>
        <w:t xml:space="preserve">kompetenter </w:t>
      </w:r>
      <w:r>
        <w:rPr>
          <w:lang w:val="de-DE"/>
        </w:rPr>
        <w:t xml:space="preserve"> Eltern, Lehrer </w:t>
      </w:r>
      <w:r w:rsidR="00637A10">
        <w:rPr>
          <w:lang w:val="de-DE"/>
        </w:rPr>
        <w:t xml:space="preserve">Innen </w:t>
      </w:r>
      <w:r>
        <w:rPr>
          <w:lang w:val="de-DE"/>
        </w:rPr>
        <w:t xml:space="preserve">und </w:t>
      </w:r>
      <w:proofErr w:type="spellStart"/>
      <w:r>
        <w:rPr>
          <w:lang w:val="de-DE"/>
        </w:rPr>
        <w:t>Mitschüler</w:t>
      </w:r>
      <w:r w:rsidR="00637A10">
        <w:rPr>
          <w:lang w:val="de-DE"/>
        </w:rPr>
        <w:t>Innen</w:t>
      </w:r>
      <w:proofErr w:type="spellEnd"/>
      <w:r>
        <w:rPr>
          <w:lang w:val="de-DE"/>
        </w:rPr>
        <w:t xml:space="preserve"> mit den Erkrankungen der Kinder umgehen, desto weniger belastend ist die Situation für das betroffene Kind. Dies erfordert jedoch </w:t>
      </w:r>
      <w:r w:rsidR="00FA0AF7">
        <w:rPr>
          <w:lang w:val="de-DE"/>
        </w:rPr>
        <w:t xml:space="preserve">eine gute Zusammenarbeit zwischen Schule –Eltern – und </w:t>
      </w:r>
      <w:r w:rsidR="009A37C3">
        <w:rPr>
          <w:lang w:val="de-DE"/>
        </w:rPr>
        <w:t xml:space="preserve">behandelnden </w:t>
      </w:r>
      <w:proofErr w:type="spellStart"/>
      <w:r w:rsidR="009A37C3">
        <w:rPr>
          <w:lang w:val="de-DE"/>
        </w:rPr>
        <w:t>ÄrztInnen</w:t>
      </w:r>
      <w:proofErr w:type="spellEnd"/>
      <w:r w:rsidR="009A37C3">
        <w:rPr>
          <w:lang w:val="de-DE"/>
        </w:rPr>
        <w:t xml:space="preserve"> </w:t>
      </w:r>
      <w:r w:rsidR="00FA0AF7">
        <w:rPr>
          <w:lang w:val="de-DE"/>
        </w:rPr>
        <w:t xml:space="preserve"> im Sinne eines modernen „Case Managements“.</w:t>
      </w:r>
    </w:p>
    <w:p w:rsidR="00466CF1" w:rsidRDefault="00CC5220">
      <w:pPr>
        <w:rPr>
          <w:lang w:val="de-DE"/>
        </w:rPr>
      </w:pPr>
      <w:r>
        <w:rPr>
          <w:lang w:val="de-DE"/>
        </w:rPr>
        <w:t xml:space="preserve">Die Kinder und </w:t>
      </w:r>
      <w:r w:rsidR="00637A10">
        <w:rPr>
          <w:lang w:val="de-DE"/>
        </w:rPr>
        <w:t xml:space="preserve">ihre </w:t>
      </w:r>
      <w:r>
        <w:rPr>
          <w:lang w:val="de-DE"/>
        </w:rPr>
        <w:t xml:space="preserve">Familien </w:t>
      </w:r>
      <w:r w:rsidR="00637A10">
        <w:rPr>
          <w:lang w:val="de-DE"/>
        </w:rPr>
        <w:t xml:space="preserve">sind </w:t>
      </w:r>
      <w:r>
        <w:rPr>
          <w:lang w:val="de-DE"/>
        </w:rPr>
        <w:t>meist</w:t>
      </w:r>
      <w:r w:rsidR="00637A10">
        <w:rPr>
          <w:lang w:val="de-DE"/>
        </w:rPr>
        <w:t xml:space="preserve"> </w:t>
      </w:r>
      <w:r w:rsidR="00DA3847">
        <w:rPr>
          <w:lang w:val="de-DE"/>
        </w:rPr>
        <w:t>(</w:t>
      </w:r>
      <w:r w:rsidR="00637A10">
        <w:rPr>
          <w:lang w:val="de-DE"/>
        </w:rPr>
        <w:t>allerdings nicht immer</w:t>
      </w:r>
      <w:r w:rsidR="00DA3847">
        <w:rPr>
          <w:lang w:val="de-DE"/>
        </w:rPr>
        <w:t>)</w:t>
      </w:r>
      <w:r>
        <w:rPr>
          <w:lang w:val="de-DE"/>
        </w:rPr>
        <w:t xml:space="preserve"> gut </w:t>
      </w:r>
      <w:r w:rsidR="00637A10">
        <w:rPr>
          <w:lang w:val="de-DE"/>
        </w:rPr>
        <w:t>geschult und informiert</w:t>
      </w:r>
      <w:r>
        <w:rPr>
          <w:lang w:val="de-DE"/>
        </w:rPr>
        <w:t>. Damit  auch in der Schule die Kontaktpersonen sicher im Umgang mit den Kindern und ihrer Krankheit sind</w:t>
      </w:r>
      <w:r w:rsidR="0013779A">
        <w:rPr>
          <w:lang w:val="de-DE"/>
        </w:rPr>
        <w:t>,</w:t>
      </w:r>
      <w:r>
        <w:rPr>
          <w:lang w:val="de-DE"/>
        </w:rPr>
        <w:t xml:space="preserve"> ist es wich</w:t>
      </w:r>
      <w:r w:rsidR="00466CF1">
        <w:rPr>
          <w:lang w:val="de-DE"/>
        </w:rPr>
        <w:t>tig für die Pädagogen</w:t>
      </w:r>
      <w:r w:rsidR="00637A10">
        <w:rPr>
          <w:lang w:val="de-DE"/>
        </w:rPr>
        <w:t>,</w:t>
      </w:r>
      <w:r w:rsidR="00466CF1">
        <w:rPr>
          <w:lang w:val="de-DE"/>
        </w:rPr>
        <w:t xml:space="preserve"> </w:t>
      </w:r>
      <w:r>
        <w:rPr>
          <w:lang w:val="de-DE"/>
        </w:rPr>
        <w:t xml:space="preserve"> Basiswissen üb</w:t>
      </w:r>
      <w:r w:rsidR="0013779A">
        <w:rPr>
          <w:lang w:val="de-DE"/>
        </w:rPr>
        <w:t>er Erkrankungen zu besitz</w:t>
      </w:r>
      <w:r w:rsidR="00466CF1">
        <w:rPr>
          <w:lang w:val="de-DE"/>
        </w:rPr>
        <w:t>en.</w:t>
      </w:r>
    </w:p>
    <w:p w:rsidR="009A37C3" w:rsidRDefault="00466CF1">
      <w:pPr>
        <w:rPr>
          <w:lang w:val="de-DE"/>
        </w:rPr>
      </w:pPr>
      <w:r w:rsidRPr="00FA0AF7">
        <w:rPr>
          <w:lang w:val="de-DE"/>
        </w:rPr>
        <w:t>Es ist sinnvoll</w:t>
      </w:r>
      <w:r w:rsidR="00FA0AF7" w:rsidRPr="00FA0AF7">
        <w:rPr>
          <w:lang w:val="de-DE"/>
        </w:rPr>
        <w:t>,</w:t>
      </w:r>
      <w:r w:rsidRPr="00FA0AF7">
        <w:rPr>
          <w:lang w:val="de-DE"/>
        </w:rPr>
        <w:t xml:space="preserve"> </w:t>
      </w:r>
      <w:r w:rsidR="00CC5220" w:rsidRPr="00FA0AF7">
        <w:rPr>
          <w:lang w:val="de-DE"/>
        </w:rPr>
        <w:t xml:space="preserve">in jedem Einzelfall </w:t>
      </w:r>
      <w:r w:rsidR="009A37C3">
        <w:rPr>
          <w:lang w:val="de-DE"/>
        </w:rPr>
        <w:t xml:space="preserve">eine </w:t>
      </w:r>
      <w:r w:rsidR="00CC5220" w:rsidRPr="00FA0AF7">
        <w:rPr>
          <w:b/>
          <w:lang w:val="de-DE"/>
        </w:rPr>
        <w:t xml:space="preserve"> </w:t>
      </w:r>
      <w:r w:rsidR="00FA0AF7" w:rsidRPr="009A37C3">
        <w:rPr>
          <w:lang w:val="de-DE"/>
        </w:rPr>
        <w:t>schriftliche</w:t>
      </w:r>
      <w:r w:rsidR="00FA0AF7" w:rsidRPr="00FA0AF7">
        <w:rPr>
          <w:b/>
          <w:lang w:val="de-DE"/>
        </w:rPr>
        <w:t xml:space="preserve"> </w:t>
      </w:r>
      <w:r w:rsidR="00FA0AF7" w:rsidRPr="00FA0AF7">
        <w:rPr>
          <w:lang w:val="de-DE"/>
        </w:rPr>
        <w:t>V</w:t>
      </w:r>
      <w:r w:rsidR="009A37C3">
        <w:rPr>
          <w:lang w:val="de-DE"/>
        </w:rPr>
        <w:t>ereinbarung</w:t>
      </w:r>
      <w:r w:rsidR="00FA0AF7" w:rsidRPr="00FA0AF7">
        <w:rPr>
          <w:sz w:val="28"/>
          <w:szCs w:val="28"/>
          <w:lang w:val="de-DE"/>
        </w:rPr>
        <w:t xml:space="preserve"> </w:t>
      </w:r>
      <w:r w:rsidR="009A37C3">
        <w:rPr>
          <w:lang w:val="de-DE"/>
        </w:rPr>
        <w:t xml:space="preserve">zu erarbeiten und bekannt zu machen. Diese Vereinbarungen  </w:t>
      </w:r>
      <w:r w:rsidR="00DA3847">
        <w:rPr>
          <w:lang w:val="de-DE"/>
        </w:rPr>
        <w:t>enthalten Informationen</w:t>
      </w:r>
      <w:r w:rsidR="009A37C3">
        <w:rPr>
          <w:lang w:val="de-DE"/>
        </w:rPr>
        <w:t xml:space="preserve"> über </w:t>
      </w:r>
      <w:r w:rsidR="00DA3847">
        <w:rPr>
          <w:lang w:val="de-DE"/>
        </w:rPr>
        <w:t xml:space="preserve">die </w:t>
      </w:r>
      <w:r w:rsidR="009A37C3">
        <w:rPr>
          <w:lang w:val="de-DE"/>
        </w:rPr>
        <w:t xml:space="preserve">Art der Erkrankung, notwendige Medikamente </w:t>
      </w:r>
      <w:r w:rsidR="00DA3847">
        <w:rPr>
          <w:lang w:val="de-DE"/>
        </w:rPr>
        <w:t>und deren Lagerung in der Schule</w:t>
      </w:r>
      <w:r w:rsidR="009A37C3">
        <w:rPr>
          <w:lang w:val="de-DE"/>
        </w:rPr>
        <w:t xml:space="preserve">, Namen des behandelnden Arztes bzw. Zentrums, und auch das richtige Vorgehen im Notfall oder bei Problemen.  Dies führt für alle Beteiligten zu einer größeren Sicherheit, bedarf aber eines offenen Umgangs und einer </w:t>
      </w:r>
      <w:r w:rsidR="009D2583">
        <w:rPr>
          <w:lang w:val="de-DE"/>
        </w:rPr>
        <w:t xml:space="preserve">gegenseitigen </w:t>
      </w:r>
      <w:r w:rsidR="009A37C3">
        <w:rPr>
          <w:lang w:val="de-DE"/>
        </w:rPr>
        <w:t>verständnisvollen Haltung</w:t>
      </w:r>
      <w:r w:rsidR="00DA3847">
        <w:rPr>
          <w:lang w:val="de-DE"/>
        </w:rPr>
        <w:t>, und manchmal auch einen längeren Aushandlungsprozess.</w:t>
      </w:r>
    </w:p>
    <w:p w:rsidR="0013779A" w:rsidRDefault="009A37C3">
      <w:pPr>
        <w:rPr>
          <w:lang w:val="de-DE"/>
        </w:rPr>
      </w:pPr>
      <w:r w:rsidRPr="00FA0AF7">
        <w:rPr>
          <w:lang w:val="de-DE"/>
        </w:rPr>
        <w:t xml:space="preserve"> </w:t>
      </w:r>
      <w:r w:rsidR="00637A10">
        <w:rPr>
          <w:lang w:val="de-DE"/>
        </w:rPr>
        <w:t xml:space="preserve">Die </w:t>
      </w:r>
      <w:proofErr w:type="spellStart"/>
      <w:r w:rsidR="00637A10">
        <w:rPr>
          <w:lang w:val="de-DE"/>
        </w:rPr>
        <w:t>TeilnehmerInnen</w:t>
      </w:r>
      <w:proofErr w:type="spellEnd"/>
      <w:r w:rsidR="00637A10">
        <w:rPr>
          <w:lang w:val="de-DE"/>
        </w:rPr>
        <w:t xml:space="preserve"> wu</w:t>
      </w:r>
      <w:r w:rsidR="00CC5220" w:rsidRPr="00CC5220">
        <w:rPr>
          <w:lang w:val="de-DE"/>
        </w:rPr>
        <w:t xml:space="preserve">rden ermutigt, an ihrem eigenen Schulstandort den wichtigsten Fragen in diesem Zusammenhang nach zu gehen. </w:t>
      </w:r>
      <w:r w:rsidR="009D2583">
        <w:rPr>
          <w:lang w:val="de-DE"/>
        </w:rPr>
        <w:t xml:space="preserve">Ein erster Überblick zeigt, dass es erhebliche Unterschiede an den </w:t>
      </w:r>
      <w:proofErr w:type="spellStart"/>
      <w:r w:rsidR="009D2583">
        <w:rPr>
          <w:lang w:val="de-DE"/>
        </w:rPr>
        <w:t>Schulen</w:t>
      </w:r>
      <w:r w:rsidR="00DA3847">
        <w:rPr>
          <w:lang w:val="de-DE"/>
        </w:rPr>
        <w:t>in</w:t>
      </w:r>
      <w:proofErr w:type="spellEnd"/>
      <w:r w:rsidR="00DA3847">
        <w:rPr>
          <w:lang w:val="de-DE"/>
        </w:rPr>
        <w:t xml:space="preserve"> Bezug auf die Zahl und Art der Erkrankungen</w:t>
      </w:r>
      <w:r w:rsidR="009D2583">
        <w:rPr>
          <w:lang w:val="de-DE"/>
        </w:rPr>
        <w:t>, aber doch häufig ähnliche Fragestellungen gibt.</w:t>
      </w:r>
    </w:p>
    <w:p w:rsidR="00DA3847" w:rsidRDefault="00637A10">
      <w:pPr>
        <w:rPr>
          <w:lang w:val="de-DE"/>
        </w:rPr>
      </w:pPr>
      <w:r>
        <w:rPr>
          <w:lang w:val="de-DE"/>
        </w:rPr>
        <w:t>Im weiteren Verlauf der Fortbildung  wu</w:t>
      </w:r>
      <w:r w:rsidR="00CC5220" w:rsidRPr="00CC5220">
        <w:rPr>
          <w:lang w:val="de-DE"/>
        </w:rPr>
        <w:t>rden Rechtsgrundlagen sowohl für Erste Hilfe als auch die Verabreich</w:t>
      </w:r>
      <w:r w:rsidR="009D2583">
        <w:rPr>
          <w:lang w:val="de-DE"/>
        </w:rPr>
        <w:t>ung von Medikamenten besprochen.</w:t>
      </w:r>
      <w:r w:rsidR="00DA3847">
        <w:rPr>
          <w:lang w:val="de-DE"/>
        </w:rPr>
        <w:t xml:space="preserve"> </w:t>
      </w:r>
      <w:r w:rsidR="00CC5220" w:rsidRPr="00CC5220">
        <w:rPr>
          <w:lang w:val="de-DE"/>
        </w:rPr>
        <w:t>Me</w:t>
      </w:r>
      <w:r w:rsidR="0013779A">
        <w:rPr>
          <w:lang w:val="de-DE"/>
        </w:rPr>
        <w:t>dizinische Basisinformationen</w:t>
      </w:r>
      <w:r w:rsidR="009D2583">
        <w:rPr>
          <w:lang w:val="de-DE"/>
        </w:rPr>
        <w:t xml:space="preserve">, Filmausschnitte </w:t>
      </w:r>
      <w:r w:rsidR="0013779A">
        <w:rPr>
          <w:lang w:val="de-DE"/>
        </w:rPr>
        <w:t xml:space="preserve"> </w:t>
      </w:r>
      <w:r w:rsidR="009D2583">
        <w:rPr>
          <w:lang w:val="de-DE"/>
        </w:rPr>
        <w:t xml:space="preserve">und Handlungsanleitungen für spezielle Situationen </w:t>
      </w:r>
      <w:r w:rsidR="0013779A">
        <w:rPr>
          <w:lang w:val="de-DE"/>
        </w:rPr>
        <w:t>ga</w:t>
      </w:r>
      <w:r w:rsidR="00CC5220" w:rsidRPr="00CC5220">
        <w:rPr>
          <w:lang w:val="de-DE"/>
        </w:rPr>
        <w:t xml:space="preserve">ben </w:t>
      </w:r>
      <w:r w:rsidR="009D2583">
        <w:rPr>
          <w:lang w:val="de-DE"/>
        </w:rPr>
        <w:t>bei dieser Lehrveranstaltung</w:t>
      </w:r>
      <w:r w:rsidR="0013779A">
        <w:rPr>
          <w:lang w:val="de-DE"/>
        </w:rPr>
        <w:t xml:space="preserve"> </w:t>
      </w:r>
      <w:r w:rsidR="00CC5220" w:rsidRPr="00CC5220">
        <w:rPr>
          <w:lang w:val="de-DE"/>
        </w:rPr>
        <w:t xml:space="preserve">einen Einblick in das </w:t>
      </w:r>
      <w:r w:rsidR="009D2583">
        <w:rPr>
          <w:lang w:val="de-DE"/>
        </w:rPr>
        <w:t xml:space="preserve">Thema „Chronisch kranke Kinder in der Schule“. </w:t>
      </w:r>
      <w:r w:rsidR="00CC5220" w:rsidRPr="00CC5220">
        <w:rPr>
          <w:lang w:val="de-DE"/>
        </w:rPr>
        <w:t xml:space="preserve"> </w:t>
      </w:r>
    </w:p>
    <w:p w:rsidR="00CC5220" w:rsidRDefault="009D2583">
      <w:pPr>
        <w:rPr>
          <w:lang w:val="de-DE"/>
        </w:rPr>
      </w:pPr>
      <w:r>
        <w:rPr>
          <w:lang w:val="de-DE"/>
        </w:rPr>
        <w:t xml:space="preserve">Unterlagen  und praktische Übungen zu den aktuellen Empfehlungen der Ersten Hilfe rundeten </w:t>
      </w:r>
      <w:r w:rsidR="00CC5220" w:rsidRPr="00CC5220">
        <w:rPr>
          <w:lang w:val="de-DE"/>
        </w:rPr>
        <w:t>die Fortbildung ab.</w:t>
      </w:r>
    </w:p>
    <w:p w:rsidR="00637A10" w:rsidRDefault="0013779A">
      <w:pPr>
        <w:rPr>
          <w:lang w:val="de-DE"/>
        </w:rPr>
      </w:pPr>
      <w:r>
        <w:rPr>
          <w:lang w:val="de-DE"/>
        </w:rPr>
        <w:t xml:space="preserve">Das gemeinsame Angebot für Schulärzte und </w:t>
      </w:r>
      <w:r w:rsidR="009D2583">
        <w:rPr>
          <w:lang w:val="de-DE"/>
        </w:rPr>
        <w:t xml:space="preserve">BewegungserzieherInnen </w:t>
      </w:r>
      <w:r>
        <w:rPr>
          <w:lang w:val="de-DE"/>
        </w:rPr>
        <w:t xml:space="preserve"> führte zu </w:t>
      </w:r>
      <w:r w:rsidR="009D2583">
        <w:rPr>
          <w:lang w:val="de-DE"/>
        </w:rPr>
        <w:t xml:space="preserve">einer angeregten Diskussion, die deutlich machte, dass beide Berufsgruppen </w:t>
      </w:r>
      <w:r w:rsidR="00637A10">
        <w:rPr>
          <w:lang w:val="de-DE"/>
        </w:rPr>
        <w:t xml:space="preserve">weitgehend </w:t>
      </w:r>
      <w:proofErr w:type="spellStart"/>
      <w:r w:rsidR="009D2583">
        <w:rPr>
          <w:lang w:val="de-DE"/>
        </w:rPr>
        <w:t>diesselben</w:t>
      </w:r>
      <w:proofErr w:type="spellEnd"/>
      <w:r w:rsidR="009D2583">
        <w:rPr>
          <w:lang w:val="de-DE"/>
        </w:rPr>
        <w:t xml:space="preserve"> </w:t>
      </w:r>
      <w:r w:rsidR="00637A10">
        <w:rPr>
          <w:lang w:val="de-DE"/>
        </w:rPr>
        <w:t xml:space="preserve"> </w:t>
      </w:r>
      <w:proofErr w:type="spellStart"/>
      <w:r w:rsidR="00637A10">
        <w:rPr>
          <w:lang w:val="de-DE"/>
        </w:rPr>
        <w:t>Gesundheit</w:t>
      </w:r>
      <w:r w:rsidR="00510139">
        <w:rPr>
          <w:lang w:val="de-DE"/>
        </w:rPr>
        <w:t>s</w:t>
      </w:r>
      <w:proofErr w:type="spellEnd"/>
      <w:r w:rsidR="00637A10">
        <w:rPr>
          <w:lang w:val="de-DE"/>
        </w:rPr>
        <w:t xml:space="preserve"> </w:t>
      </w:r>
      <w:r w:rsidR="00510139">
        <w:rPr>
          <w:lang w:val="de-DE"/>
        </w:rPr>
        <w:t xml:space="preserve">-Interessen </w:t>
      </w:r>
      <w:r w:rsidR="00637A10">
        <w:rPr>
          <w:lang w:val="de-DE"/>
        </w:rPr>
        <w:t xml:space="preserve">von </w:t>
      </w:r>
      <w:r w:rsidR="009D2583">
        <w:rPr>
          <w:lang w:val="de-DE"/>
        </w:rPr>
        <w:t>Schulkinder</w:t>
      </w:r>
      <w:r w:rsidR="00637A10">
        <w:rPr>
          <w:lang w:val="de-DE"/>
        </w:rPr>
        <w:t>n</w:t>
      </w:r>
      <w:r w:rsidR="009D2583">
        <w:rPr>
          <w:lang w:val="de-DE"/>
        </w:rPr>
        <w:t xml:space="preserve"> vertreten. </w:t>
      </w:r>
    </w:p>
    <w:p w:rsidR="00637A10" w:rsidRDefault="00637A10">
      <w:pPr>
        <w:rPr>
          <w:lang w:val="de-DE"/>
        </w:rPr>
      </w:pPr>
      <w:r>
        <w:rPr>
          <w:lang w:val="de-DE"/>
        </w:rPr>
        <w:t>Ein  wichtiges Ergebnis der Veranstaltung war sicherlich die spontane</w:t>
      </w:r>
      <w:r w:rsidR="009D2583">
        <w:rPr>
          <w:lang w:val="de-DE"/>
        </w:rPr>
        <w:t xml:space="preserve"> Gründung einer gemeinsamen „</w:t>
      </w:r>
      <w:proofErr w:type="spellStart"/>
      <w:r w:rsidR="009D2583">
        <w:rPr>
          <w:lang w:val="de-DE"/>
        </w:rPr>
        <w:t>pressure</w:t>
      </w:r>
      <w:proofErr w:type="spellEnd"/>
      <w:r w:rsidR="009D2583">
        <w:rPr>
          <w:lang w:val="de-DE"/>
        </w:rPr>
        <w:t xml:space="preserve"> </w:t>
      </w:r>
      <w:proofErr w:type="spellStart"/>
      <w:r w:rsidR="009D2583">
        <w:rPr>
          <w:lang w:val="de-DE"/>
        </w:rPr>
        <w:t>group</w:t>
      </w:r>
      <w:proofErr w:type="spellEnd"/>
      <w:r w:rsidR="009D2583">
        <w:rPr>
          <w:lang w:val="de-DE"/>
        </w:rPr>
        <w:t>“</w:t>
      </w:r>
      <w:r>
        <w:rPr>
          <w:lang w:val="de-DE"/>
        </w:rPr>
        <w:t>,</w:t>
      </w:r>
      <w:r w:rsidR="009D2583">
        <w:rPr>
          <w:lang w:val="de-DE"/>
        </w:rPr>
        <w:t xml:space="preserve"> die nun </w:t>
      </w:r>
      <w:r w:rsidR="00510139">
        <w:rPr>
          <w:lang w:val="de-DE"/>
        </w:rPr>
        <w:t xml:space="preserve">konkrete </w:t>
      </w:r>
      <w:r w:rsidR="009D2583">
        <w:rPr>
          <w:lang w:val="de-DE"/>
        </w:rPr>
        <w:t xml:space="preserve">Möglichkeiten eines gemeinsamen Vorgehens </w:t>
      </w:r>
      <w:r>
        <w:rPr>
          <w:lang w:val="de-DE"/>
        </w:rPr>
        <w:t xml:space="preserve">für eine Verbesserung der </w:t>
      </w:r>
      <w:r w:rsidR="00DA3847">
        <w:rPr>
          <w:lang w:val="de-DE"/>
        </w:rPr>
        <w:t>Gesundheits-</w:t>
      </w:r>
      <w:r>
        <w:rPr>
          <w:lang w:val="de-DE"/>
        </w:rPr>
        <w:t xml:space="preserve">Situation </w:t>
      </w:r>
      <w:r w:rsidR="00DA3847">
        <w:rPr>
          <w:lang w:val="de-DE"/>
        </w:rPr>
        <w:t>von</w:t>
      </w:r>
      <w:r>
        <w:rPr>
          <w:lang w:val="de-DE"/>
        </w:rPr>
        <w:t xml:space="preserve"> Schulkinder</w:t>
      </w:r>
      <w:r w:rsidR="00DA3847">
        <w:rPr>
          <w:lang w:val="de-DE"/>
        </w:rPr>
        <w:t>n</w:t>
      </w:r>
      <w:r>
        <w:rPr>
          <w:lang w:val="de-DE"/>
        </w:rPr>
        <w:t xml:space="preserve"> diskutieren wird. </w:t>
      </w:r>
      <w:r w:rsidR="0013779A">
        <w:rPr>
          <w:lang w:val="de-DE"/>
        </w:rPr>
        <w:t xml:space="preserve"> </w:t>
      </w:r>
    </w:p>
    <w:p w:rsidR="0013779A" w:rsidRDefault="0013779A">
      <w:pPr>
        <w:rPr>
          <w:lang w:val="de-DE"/>
        </w:rPr>
      </w:pPr>
      <w:r>
        <w:rPr>
          <w:lang w:val="de-DE"/>
        </w:rPr>
        <w:t xml:space="preserve">Ein verstärkter Austausch führt mit Sicherheit zu einer </w:t>
      </w:r>
      <w:r w:rsidR="00510139">
        <w:rPr>
          <w:lang w:val="de-DE"/>
        </w:rPr>
        <w:t xml:space="preserve">verbesserten </w:t>
      </w:r>
      <w:r>
        <w:rPr>
          <w:lang w:val="de-DE"/>
        </w:rPr>
        <w:t xml:space="preserve"> Be</w:t>
      </w:r>
      <w:r w:rsidR="00510139">
        <w:rPr>
          <w:lang w:val="de-DE"/>
        </w:rPr>
        <w:t>treuung beeinträchtigter Kinder, was sich nicht nur auf ihre Gesundheit</w:t>
      </w:r>
      <w:r w:rsidR="00DA3847">
        <w:rPr>
          <w:lang w:val="de-DE"/>
        </w:rPr>
        <w:t>,</w:t>
      </w:r>
      <w:r w:rsidR="00510139">
        <w:rPr>
          <w:lang w:val="de-DE"/>
        </w:rPr>
        <w:t xml:space="preserve"> sondern auch auf  ihren Bildungserfolg auswirken wird.</w:t>
      </w:r>
    </w:p>
    <w:p w:rsidR="0002799C" w:rsidRDefault="0002799C">
      <w:pPr>
        <w:rPr>
          <w:lang w:val="de-DE"/>
        </w:rPr>
      </w:pPr>
      <w:r>
        <w:rPr>
          <w:lang w:val="de-DE"/>
        </w:rPr>
        <w:t>Dr. Wagner-Reif Heidemarie</w:t>
      </w:r>
    </w:p>
    <w:p w:rsidR="00DA3847" w:rsidRDefault="00DA3847">
      <w:pPr>
        <w:rPr>
          <w:lang w:val="de-DE"/>
        </w:rPr>
      </w:pPr>
      <w:r>
        <w:rPr>
          <w:lang w:val="de-DE"/>
        </w:rPr>
        <w:t>Landesschulärztin für Kärnten</w:t>
      </w:r>
    </w:p>
    <w:p w:rsidR="00DA3847" w:rsidRPr="00CC5220" w:rsidRDefault="00DA3847">
      <w:pPr>
        <w:rPr>
          <w:lang w:val="de-DE"/>
        </w:rPr>
      </w:pPr>
      <w:r>
        <w:rPr>
          <w:lang w:val="de-DE"/>
        </w:rPr>
        <w:t>Klagenfurt 13.März 2012</w:t>
      </w:r>
    </w:p>
    <w:sectPr w:rsidR="00DA3847" w:rsidRPr="00CC5220" w:rsidSect="00D1652F">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5D8"/>
    <w:rsid w:val="0002799C"/>
    <w:rsid w:val="0013779A"/>
    <w:rsid w:val="00192C9F"/>
    <w:rsid w:val="001A796C"/>
    <w:rsid w:val="003646C9"/>
    <w:rsid w:val="00466CF1"/>
    <w:rsid w:val="00510139"/>
    <w:rsid w:val="0056391F"/>
    <w:rsid w:val="006205D8"/>
    <w:rsid w:val="00637A10"/>
    <w:rsid w:val="00793FEF"/>
    <w:rsid w:val="007A6D3C"/>
    <w:rsid w:val="008620DC"/>
    <w:rsid w:val="00902124"/>
    <w:rsid w:val="009A37C3"/>
    <w:rsid w:val="009D2583"/>
    <w:rsid w:val="00B97429"/>
    <w:rsid w:val="00C616B6"/>
    <w:rsid w:val="00CC5220"/>
    <w:rsid w:val="00D1652F"/>
    <w:rsid w:val="00D76C57"/>
    <w:rsid w:val="00DA3847"/>
    <w:rsid w:val="00EC78D9"/>
    <w:rsid w:val="00F828E7"/>
    <w:rsid w:val="00FA0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5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0A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0AF7"/>
    <w:rPr>
      <w:rFonts w:ascii="Tahoma" w:hAnsi="Tahoma" w:cs="Tahoma"/>
      <w:sz w:val="16"/>
      <w:szCs w:val="16"/>
    </w:rPr>
  </w:style>
  <w:style w:type="paragraph" w:styleId="berarbeitung">
    <w:name w:val="Revision"/>
    <w:hidden/>
    <w:uiPriority w:val="99"/>
    <w:semiHidden/>
    <w:rsid w:val="009A37C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CBEBA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Wagner-Reif</dc:creator>
  <cp:keywords/>
  <dc:description/>
  <cp:lastModifiedBy>-</cp:lastModifiedBy>
  <cp:revision>4</cp:revision>
  <dcterms:created xsi:type="dcterms:W3CDTF">2012-03-15T08:25:00Z</dcterms:created>
  <dcterms:modified xsi:type="dcterms:W3CDTF">2012-03-15T10:14:00Z</dcterms:modified>
</cp:coreProperties>
</file>